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A8" w:rsidRPr="00C076A0" w:rsidRDefault="004B0AA8" w:rsidP="004B0AA8">
      <w:pPr>
        <w:pStyle w:val="Nagwek1"/>
        <w:ind w:left="3540" w:firstLine="708"/>
        <w:jc w:val="left"/>
        <w:rPr>
          <w:rFonts w:ascii="Times New Roman" w:hAnsi="Times New Roman"/>
          <w:b/>
          <w:bCs/>
          <w:sz w:val="22"/>
          <w:szCs w:val="22"/>
        </w:rPr>
      </w:pPr>
      <w:r w:rsidRPr="00C076A0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4B0AA8" w:rsidRPr="00C076A0" w:rsidRDefault="004B0AA8" w:rsidP="004B0AA8">
      <w:pPr>
        <w:rPr>
          <w:sz w:val="22"/>
          <w:szCs w:val="22"/>
        </w:rPr>
      </w:pPr>
    </w:p>
    <w:p w:rsidR="004B0AA8" w:rsidRDefault="004B0AA8" w:rsidP="004B0AA8">
      <w:pPr>
        <w:jc w:val="center"/>
        <w:rPr>
          <w:sz w:val="22"/>
          <w:szCs w:val="22"/>
        </w:rPr>
      </w:pPr>
    </w:p>
    <w:p w:rsidR="004B0AA8" w:rsidRPr="00C076A0" w:rsidRDefault="004B0AA8" w:rsidP="004B0AA8">
      <w:pPr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B0AA8" w:rsidRPr="00C076A0" w:rsidTr="00A71FF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60" w:after="6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Gramatyka opisowa języka rosyjskiego (składnia) III</w:t>
            </w:r>
          </w:p>
        </w:tc>
      </w:tr>
      <w:tr w:rsidR="004B0AA8" w:rsidRPr="00440195" w:rsidTr="00A71FF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60" w:after="60"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 w:rsidRPr="00C076A0">
              <w:rPr>
                <w:iCs/>
                <w:color w:val="000000"/>
                <w:sz w:val="22"/>
                <w:szCs w:val="22"/>
                <w:lang w:val="en-US" w:eastAsia="en-US"/>
              </w:rPr>
              <w:t>Descriptive grammar of the Russian language (syntax) III</w:t>
            </w:r>
          </w:p>
        </w:tc>
      </w:tr>
    </w:tbl>
    <w:p w:rsidR="004B0AA8" w:rsidRPr="00C076A0" w:rsidRDefault="004B0AA8" w:rsidP="004B0AA8">
      <w:pPr>
        <w:jc w:val="center"/>
        <w:rPr>
          <w:sz w:val="22"/>
          <w:szCs w:val="22"/>
          <w:lang w:val="en-GB" w:eastAsia="en-US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2907"/>
        <w:gridCol w:w="3544"/>
      </w:tblGrid>
      <w:tr w:rsidR="004B0AA8" w:rsidRPr="00C076A0" w:rsidTr="00A71FF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29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B0AA8" w:rsidRPr="00C076A0" w:rsidRDefault="004B0AA8" w:rsidP="00440195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 xml:space="preserve">Katedra Językoznawstwa </w:t>
            </w:r>
            <w:r w:rsidR="00440195">
              <w:rPr>
                <w:sz w:val="22"/>
                <w:szCs w:val="22"/>
                <w:lang w:eastAsia="en-US"/>
              </w:rPr>
              <w:t>W</w:t>
            </w:r>
            <w:bookmarkStart w:id="0" w:name="_GoBack"/>
            <w:bookmarkEnd w:id="0"/>
            <w:r w:rsidR="00440195">
              <w:rPr>
                <w:sz w:val="22"/>
                <w:szCs w:val="22"/>
                <w:lang w:eastAsia="en-US"/>
              </w:rPr>
              <w:t>schodniosłowiańskiego</w:t>
            </w:r>
          </w:p>
        </w:tc>
        <w:tc>
          <w:tcPr>
            <w:tcW w:w="354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4B0AA8" w:rsidRPr="00C076A0" w:rsidTr="00A71FF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B0AA8" w:rsidRPr="007E3531" w:rsidRDefault="004B0AA8" w:rsidP="00A71FF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7E3531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(2024/2025</w:t>
            </w:r>
            <w:r w:rsidRPr="007E3531">
              <w:rPr>
                <w:sz w:val="22"/>
                <w:szCs w:val="22"/>
              </w:rPr>
              <w:t>: dr Karina Zając-Haduch)</w:t>
            </w:r>
          </w:p>
        </w:tc>
      </w:tr>
      <w:tr w:rsidR="004B0AA8" w:rsidRPr="00C076A0" w:rsidTr="00A71FF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  <w:lang w:eastAsia="en-US"/>
              </w:rPr>
            </w:pPr>
          </w:p>
        </w:tc>
      </w:tr>
      <w:tr w:rsidR="004B0AA8" w:rsidRPr="00C076A0" w:rsidTr="00A71FF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29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4B0AA8" w:rsidRPr="00C076A0" w:rsidRDefault="004B0AA8" w:rsidP="004B0AA8">
      <w:pPr>
        <w:jc w:val="center"/>
        <w:rPr>
          <w:sz w:val="22"/>
          <w:szCs w:val="22"/>
          <w:lang w:eastAsia="en-US"/>
        </w:rPr>
      </w:pPr>
    </w:p>
    <w:p w:rsidR="004B0AA8" w:rsidRPr="00C076A0" w:rsidRDefault="004B0AA8" w:rsidP="004B0AA8">
      <w:pPr>
        <w:jc w:val="right"/>
        <w:rPr>
          <w:i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Opis kursu (cele kształcenia)</w:t>
      </w:r>
    </w:p>
    <w:p w:rsidR="004B0AA8" w:rsidRPr="00C076A0" w:rsidRDefault="004B0AA8" w:rsidP="004B0AA8">
      <w:pPr>
        <w:rPr>
          <w:b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4B0AA8" w:rsidRPr="00C076A0" w:rsidTr="00A71FF0">
        <w:trPr>
          <w:trHeight w:val="54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Celem kursu jest zdobycie podstawowej wiedzy w zakresie gramatyki opisowej współczesnego języka rosyjskiego</w:t>
            </w:r>
          </w:p>
          <w:p w:rsidR="004B0AA8" w:rsidRPr="00C076A0" w:rsidRDefault="004B0AA8" w:rsidP="00A71FF0">
            <w:pPr>
              <w:jc w:val="both"/>
              <w:rPr>
                <w:sz w:val="22"/>
                <w:szCs w:val="22"/>
              </w:rPr>
            </w:pP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Warunki wstępne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B0AA8" w:rsidRPr="00C076A0" w:rsidTr="00A71FF0">
        <w:trPr>
          <w:trHeight w:val="87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Wymagana znajomość fonetyki, słowotwórstwa i fleksji języka rosyjskiego w zakresie przewidzianym programem studiów 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Pr="00C076A0" w:rsidRDefault="004B0AA8" w:rsidP="00A71FF0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Semibold"/>
                <w:bCs/>
                <w:sz w:val="22"/>
                <w:szCs w:val="22"/>
              </w:rPr>
              <w:t>Umiejętność samodzielnego zdobywania wiedzy i rozwijania umiejętności badawczych w zakresie filologii pod kierunkiem opiekuna naukowego,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 xml:space="preserve"> umiejętność posługiwania się podstawowymi ujęciami teoretycznymi i pojęciami właściwymi dla filologii w typowych sytuacjach zawodowych</w:t>
            </w:r>
          </w:p>
          <w:p w:rsidR="004B0AA8" w:rsidRPr="00C076A0" w:rsidRDefault="004B0AA8" w:rsidP="00A71FF0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4B0AA8" w:rsidRPr="00C076A0" w:rsidRDefault="004B0AA8" w:rsidP="00A71FF0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</w:tc>
      </w:tr>
      <w:tr w:rsidR="004B0AA8" w:rsidRPr="00C076A0" w:rsidTr="00A71FF0">
        <w:trPr>
          <w:trHeight w:val="120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Wstęp do językoznawstwa, Gramatyka opisowa języka rosyjskiego (morfologia) I, Gramatyka opisowa języka rosyjskiego (morfologia) II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Efekty</w:t>
      </w:r>
      <w:r>
        <w:rPr>
          <w:b/>
          <w:sz w:val="22"/>
          <w:szCs w:val="22"/>
        </w:rPr>
        <w:t xml:space="preserve"> uczenia się 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278"/>
        <w:gridCol w:w="2410"/>
      </w:tblGrid>
      <w:tr w:rsidR="004B0AA8" w:rsidRPr="00C076A0" w:rsidTr="00A71FF0">
        <w:trPr>
          <w:cantSplit/>
          <w:trHeight w:val="930"/>
        </w:trPr>
        <w:tc>
          <w:tcPr>
            <w:tcW w:w="187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Wiedza</w:t>
            </w:r>
          </w:p>
        </w:tc>
        <w:tc>
          <w:tcPr>
            <w:tcW w:w="52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Efek</w:t>
            </w:r>
            <w:r>
              <w:rPr>
                <w:sz w:val="22"/>
                <w:szCs w:val="22"/>
              </w:rPr>
              <w:t>t</w:t>
            </w:r>
            <w:r w:rsidRPr="00C076A0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uczenia się </w:t>
            </w:r>
            <w:r w:rsidRPr="00C076A0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Odniesienie do efektów kierunkowych</w:t>
            </w:r>
          </w:p>
        </w:tc>
      </w:tr>
      <w:tr w:rsidR="004B0AA8" w:rsidRPr="00C076A0" w:rsidTr="00A71FF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52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W01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Student zna podstawową terminologię z zakresu filologii</w:t>
            </w:r>
          </w:p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W02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ma uporządkowaną wiedzę ogólną obejmującą terminologię, teorie i metodologię z zakresu filologii</w:t>
            </w:r>
          </w:p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W03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 xml:space="preserve">ma uporządkowaną wiedzę szczegółową z zakresu filologii </w:t>
            </w:r>
          </w:p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W04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K1_W02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K1_W03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K1_W04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K1_W05</w:t>
            </w: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B0AA8" w:rsidRPr="00C076A0" w:rsidTr="00A71FF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Efekty</w:t>
            </w:r>
            <w:r>
              <w:rPr>
                <w:sz w:val="22"/>
                <w:szCs w:val="22"/>
              </w:rPr>
              <w:t xml:space="preserve"> uczenia się </w:t>
            </w:r>
            <w:r w:rsidRPr="00C076A0">
              <w:rPr>
                <w:sz w:val="22"/>
                <w:szCs w:val="22"/>
              </w:rPr>
              <w:t xml:space="preserve"> 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Odniesienie do efektów kierunkowych</w:t>
            </w:r>
          </w:p>
        </w:tc>
      </w:tr>
      <w:tr w:rsidR="004B0AA8" w:rsidRPr="00C076A0" w:rsidTr="00A71FF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jc w:val="both"/>
              <w:rPr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sz w:val="22"/>
                <w:szCs w:val="22"/>
              </w:rPr>
              <w:t xml:space="preserve">U01 </w:t>
            </w:r>
            <w:r w:rsidRPr="00C076A0">
              <w:rPr>
                <w:rFonts w:eastAsia="MyriadPro-Regular"/>
                <w:sz w:val="22"/>
                <w:szCs w:val="22"/>
              </w:rPr>
              <w:t>Student potrafi wyszukiwać, analizować, oceniać, selekcjonować i użytkować informacje z zakresu filologii z wykorzystaniem różnych źródeł i sposobów,</w:t>
            </w:r>
          </w:p>
          <w:p w:rsidR="004B0AA8" w:rsidRPr="00C076A0" w:rsidRDefault="004B0AA8" w:rsidP="00A71FF0">
            <w:pPr>
              <w:jc w:val="both"/>
              <w:rPr>
                <w:rFonts w:eastAsia="MyriadPro-Semibold"/>
                <w:bCs/>
                <w:sz w:val="22"/>
                <w:szCs w:val="22"/>
              </w:rPr>
            </w:pPr>
            <w:r w:rsidRPr="00C076A0">
              <w:rPr>
                <w:b/>
                <w:sz w:val="22"/>
                <w:szCs w:val="22"/>
              </w:rPr>
              <w:t xml:space="preserve">U02 </w:t>
            </w:r>
            <w:r w:rsidRPr="00C076A0">
              <w:rPr>
                <w:sz w:val="22"/>
                <w:szCs w:val="22"/>
              </w:rPr>
              <w:t xml:space="preserve">posiada podstawowe umiejętności badawcze, obejmujące formułowanie i analizę problemów </w:t>
            </w:r>
            <w:proofErr w:type="spellStart"/>
            <w:r w:rsidRPr="00C076A0">
              <w:rPr>
                <w:sz w:val="22"/>
                <w:szCs w:val="22"/>
              </w:rPr>
              <w:t>badaw-czych</w:t>
            </w:r>
            <w:proofErr w:type="spellEnd"/>
            <w:r w:rsidRPr="00C076A0">
              <w:rPr>
                <w:sz w:val="22"/>
                <w:szCs w:val="22"/>
              </w:rPr>
              <w:t xml:space="preserve"> w zakresie językoznawstwa i literaturoznawstwa oraz kultury i historii krajów danego obszaru językowego,</w:t>
            </w:r>
          </w:p>
          <w:p w:rsidR="004B0AA8" w:rsidRPr="00C076A0" w:rsidRDefault="004B0AA8" w:rsidP="00A71FF0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Semibold"/>
                <w:b/>
                <w:bCs/>
                <w:sz w:val="22"/>
                <w:szCs w:val="22"/>
              </w:rPr>
              <w:t xml:space="preserve">U03 </w:t>
            </w:r>
            <w:r w:rsidRPr="00C076A0">
              <w:rPr>
                <w:rFonts w:eastAsia="MyriadPro-Semibold"/>
                <w:bCs/>
                <w:sz w:val="22"/>
                <w:szCs w:val="22"/>
              </w:rPr>
              <w:t>umie samodzielnie zdobywać wiedzę i rozwijać umiejętności badawcze w zakresie filologii kierując się wskazówkami opiekuna naukowego,</w:t>
            </w:r>
          </w:p>
          <w:p w:rsidR="004B0AA8" w:rsidRPr="00C076A0" w:rsidRDefault="004B0AA8" w:rsidP="00A71FF0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U04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w typowych sytuacjach zawodowych, potrafi posługiwać się podstawowymi ujęciami teoretycznymi i pojęciami właściwymi dla filologii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K1_U01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K1_U02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K1_U03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K1_U04</w:t>
            </w: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"/>
        <w:gridCol w:w="1611"/>
        <w:gridCol w:w="283"/>
        <w:gridCol w:w="942"/>
        <w:gridCol w:w="1122"/>
        <w:gridCol w:w="1177"/>
        <w:gridCol w:w="1103"/>
        <w:gridCol w:w="1028"/>
        <w:gridCol w:w="106"/>
        <w:gridCol w:w="1134"/>
        <w:gridCol w:w="1134"/>
        <w:gridCol w:w="35"/>
      </w:tblGrid>
      <w:tr w:rsidR="004B0AA8" w:rsidRPr="00C076A0" w:rsidTr="00A71FF0">
        <w:trPr>
          <w:cantSplit/>
          <w:trHeight w:val="800"/>
        </w:trPr>
        <w:tc>
          <w:tcPr>
            <w:tcW w:w="1925" w:type="dxa"/>
            <w:gridSpan w:val="3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Kompetencje społeczne</w:t>
            </w:r>
          </w:p>
        </w:tc>
        <w:tc>
          <w:tcPr>
            <w:tcW w:w="5372" w:type="dxa"/>
            <w:gridSpan w:val="5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Efekty </w:t>
            </w:r>
            <w:r>
              <w:rPr>
                <w:sz w:val="22"/>
                <w:szCs w:val="22"/>
              </w:rPr>
              <w:t xml:space="preserve">uczenia się </w:t>
            </w:r>
            <w:r w:rsidRPr="00C076A0">
              <w:rPr>
                <w:sz w:val="22"/>
                <w:szCs w:val="22"/>
              </w:rPr>
              <w:t>dla kursu</w:t>
            </w:r>
          </w:p>
        </w:tc>
        <w:tc>
          <w:tcPr>
            <w:tcW w:w="2409" w:type="dxa"/>
            <w:gridSpan w:val="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Odniesienie do efektów kierunkowych</w:t>
            </w:r>
          </w:p>
        </w:tc>
      </w:tr>
      <w:tr w:rsidR="004B0AA8" w:rsidRPr="00C076A0" w:rsidTr="00A71FF0">
        <w:trPr>
          <w:cantSplit/>
          <w:trHeight w:val="1984"/>
        </w:trPr>
        <w:tc>
          <w:tcPr>
            <w:tcW w:w="0" w:type="auto"/>
            <w:gridSpan w:val="3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5372" w:type="dxa"/>
            <w:gridSpan w:val="5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K01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 xml:space="preserve">Student rozumie potrzebę uczenia się przez całe życie 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K02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rozumie potrzebę uczenia się języków obcych</w:t>
            </w:r>
          </w:p>
          <w:p w:rsidR="004B0AA8" w:rsidRPr="00C076A0" w:rsidRDefault="004B0AA8" w:rsidP="00A71FF0">
            <w:pPr>
              <w:autoSpaceDN w:val="0"/>
              <w:adjustRightInd w:val="0"/>
              <w:rPr>
                <w:rFonts w:eastAsia="MyriadPro-Regular"/>
                <w:color w:val="1A171B"/>
                <w:sz w:val="22"/>
                <w:szCs w:val="22"/>
              </w:rPr>
            </w:pPr>
            <w:r w:rsidRPr="00C076A0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K03 </w:t>
            </w:r>
            <w:r w:rsidRPr="00C076A0">
              <w:rPr>
                <w:rFonts w:eastAsia="MyriadPro-Regular"/>
                <w:color w:val="1A171B"/>
                <w:sz w:val="22"/>
                <w:szCs w:val="22"/>
              </w:rPr>
              <w:t>potrafi współdziałać i pracować w grupie, przyjmując w niej różne role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K1_K01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K1_K02</w:t>
            </w: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K1_K03</w:t>
            </w:r>
          </w:p>
        </w:tc>
      </w:tr>
      <w:tr w:rsidR="004B0AA8" w:rsidRPr="007E3531" w:rsidTr="00A71FF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31" w:type="dxa"/>
          <w:wAfter w:w="35" w:type="dxa"/>
          <w:cantSplit/>
          <w:trHeight w:val="424"/>
        </w:trPr>
        <w:tc>
          <w:tcPr>
            <w:tcW w:w="9640" w:type="dxa"/>
            <w:gridSpan w:val="10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4B0AA8" w:rsidRPr="007E3531" w:rsidTr="00A71FF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31" w:type="dxa"/>
          <w:wAfter w:w="35" w:type="dxa"/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Forma zajęć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4B0AA8" w:rsidRPr="007E3531" w:rsidTr="00A71FF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31" w:type="dxa"/>
          <w:wAfter w:w="35" w:type="dxa"/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4B0AA8" w:rsidRPr="007E3531" w:rsidTr="00A71FF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31" w:type="dxa"/>
          <w:wAfter w:w="35" w:type="dxa"/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B0AA8" w:rsidRDefault="004B0AA8" w:rsidP="00A71F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B0AA8" w:rsidRDefault="004B0AA8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4B0AA8" w:rsidRDefault="004B0AA8" w:rsidP="004B0AA8">
      <w:pPr>
        <w:pStyle w:val="Zawartotabeli"/>
        <w:rPr>
          <w:sz w:val="22"/>
          <w:szCs w:val="22"/>
        </w:rPr>
      </w:pPr>
    </w:p>
    <w:p w:rsidR="004B0AA8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Opis metod prowadzenia zajęć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4B0AA8" w:rsidRPr="00C076A0" w:rsidTr="00A71FF0">
        <w:trPr>
          <w:trHeight w:val="441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076A0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:rsidR="004B0AA8" w:rsidRPr="00C076A0" w:rsidRDefault="004B0AA8" w:rsidP="00A71FF0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076A0">
              <w:rPr>
                <w:color w:val="000000"/>
                <w:sz w:val="22"/>
                <w:szCs w:val="22"/>
              </w:rPr>
              <w:t>Metoda „odwróconej lekcji”.</w:t>
            </w:r>
          </w:p>
          <w:p w:rsidR="004B0AA8" w:rsidRPr="00C076A0" w:rsidRDefault="004B0AA8" w:rsidP="00A71FF0">
            <w:pPr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076A0">
              <w:rPr>
                <w:color w:val="000000"/>
                <w:sz w:val="22"/>
                <w:szCs w:val="22"/>
              </w:rPr>
              <w:t>Metoda praktyczna: ćwiczenia.</w:t>
            </w:r>
          </w:p>
          <w:p w:rsidR="004B0AA8" w:rsidRPr="00C076A0" w:rsidRDefault="004B0AA8" w:rsidP="00A71FF0">
            <w:pPr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076A0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:rsidR="004B0AA8" w:rsidRPr="00C076A0" w:rsidRDefault="004B0AA8" w:rsidP="00A71FF0">
            <w:pPr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076A0">
              <w:rPr>
                <w:color w:val="000000"/>
                <w:sz w:val="22"/>
                <w:szCs w:val="22"/>
              </w:rPr>
              <w:t>E-learning (jeśli osoba prowadząca przedmiot zdecyduje się na taką formę. Nie została ona wpisana do planu studiów).</w:t>
            </w:r>
          </w:p>
          <w:p w:rsidR="004B0AA8" w:rsidRPr="00C076A0" w:rsidRDefault="004B0AA8" w:rsidP="00A71FF0">
            <w:pPr>
              <w:suppressLineNumbers/>
              <w:rPr>
                <w:sz w:val="22"/>
                <w:szCs w:val="22"/>
              </w:rPr>
            </w:pPr>
          </w:p>
        </w:tc>
      </w:tr>
    </w:tbl>
    <w:p w:rsidR="004B0AA8" w:rsidRPr="00C076A0" w:rsidRDefault="004B0AA8" w:rsidP="004B0AA8">
      <w:pPr>
        <w:suppressLineNumbers/>
        <w:rPr>
          <w:sz w:val="22"/>
          <w:szCs w:val="22"/>
        </w:rPr>
      </w:pPr>
    </w:p>
    <w:p w:rsidR="004B0AA8" w:rsidRPr="00C076A0" w:rsidRDefault="004B0AA8" w:rsidP="004B0AA8">
      <w:pPr>
        <w:suppressLineNumbers/>
        <w:rPr>
          <w:sz w:val="22"/>
          <w:szCs w:val="22"/>
        </w:rPr>
      </w:pPr>
    </w:p>
    <w:p w:rsidR="004B0AA8" w:rsidRPr="00C076A0" w:rsidRDefault="004B0AA8" w:rsidP="004B0AA8">
      <w:pPr>
        <w:suppressLineNumbers/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Formy sprawdzania efektów</w:t>
      </w:r>
      <w:r>
        <w:rPr>
          <w:b/>
          <w:sz w:val="22"/>
          <w:szCs w:val="22"/>
        </w:rPr>
        <w:t xml:space="preserve"> uczenia się</w:t>
      </w:r>
    </w:p>
    <w:p w:rsidR="004B0AA8" w:rsidRPr="00C076A0" w:rsidRDefault="004B0AA8" w:rsidP="004B0AA8">
      <w:pPr>
        <w:suppressLineNumbers/>
        <w:rPr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1059"/>
      </w:tblGrid>
      <w:tr w:rsidR="004B0AA8" w:rsidRPr="00C076A0" w:rsidTr="00A71FF0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E – </w:t>
            </w:r>
            <w:r w:rsidRPr="00C076A0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Egzamin pisemny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B0AA8" w:rsidRPr="00C076A0" w:rsidRDefault="004B0AA8" w:rsidP="00A71FF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Inne</w:t>
            </w:r>
          </w:p>
        </w:tc>
      </w:tr>
      <w:tr w:rsidR="004B0AA8" w:rsidRPr="00C076A0" w:rsidTr="00A71FF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W04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U04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B0AA8" w:rsidRPr="00C076A0" w:rsidRDefault="004B0AA8" w:rsidP="00A71FF0">
            <w:pPr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+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B0AA8" w:rsidRPr="00C076A0" w:rsidRDefault="004B0AA8" w:rsidP="00A71FF0">
            <w:pPr>
              <w:rPr>
                <w:sz w:val="22"/>
                <w:szCs w:val="22"/>
              </w:rPr>
            </w:pPr>
          </w:p>
        </w:tc>
      </w:tr>
    </w:tbl>
    <w:p w:rsidR="004B0AA8" w:rsidRPr="00C076A0" w:rsidRDefault="004B0AA8" w:rsidP="004B0AA8">
      <w:pPr>
        <w:suppressLineNumbers/>
        <w:rPr>
          <w:sz w:val="22"/>
          <w:szCs w:val="22"/>
        </w:rPr>
      </w:pPr>
    </w:p>
    <w:p w:rsidR="004B0AA8" w:rsidRPr="00C076A0" w:rsidRDefault="004B0AA8" w:rsidP="004B0AA8">
      <w:pPr>
        <w:suppressLineNumbers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B0AA8" w:rsidRPr="00C076A0" w:rsidTr="00A71FF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B0AA8" w:rsidRPr="00C076A0" w:rsidRDefault="004B0AA8" w:rsidP="00A71FF0">
            <w:pPr>
              <w:pStyle w:val="NormalnyWeb"/>
              <w:spacing w:before="0" w:beforeAutospacing="0" w:after="90" w:afterAutospacing="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076A0">
              <w:rPr>
                <w:color w:val="000000"/>
                <w:sz w:val="22"/>
                <w:szCs w:val="22"/>
                <w:lang w:eastAsia="en-US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C076A0">
              <w:rPr>
                <w:rStyle w:val="apple-converted-space"/>
                <w:color w:val="000000"/>
                <w:sz w:val="22"/>
                <w:szCs w:val="22"/>
                <w:lang w:eastAsia="en-US"/>
              </w:rPr>
              <w:t> </w:t>
            </w:r>
          </w:p>
          <w:p w:rsidR="004B0AA8" w:rsidRPr="00C076A0" w:rsidRDefault="004B0AA8" w:rsidP="00A71FF0">
            <w:pPr>
              <w:pStyle w:val="NormalnyWeb"/>
              <w:spacing w:before="0" w:beforeAutospacing="0" w:after="90" w:afterAutospacing="0"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C076A0">
              <w:rPr>
                <w:color w:val="000000"/>
                <w:sz w:val="22"/>
                <w:szCs w:val="22"/>
                <w:lang w:eastAsia="en-US"/>
              </w:rPr>
              <w:t>Zaliczenie semestru na podstawie ocen uzyskanych z prac domowych, z prac zaliczeniowych.</w:t>
            </w:r>
          </w:p>
          <w:p w:rsidR="004B0AA8" w:rsidRPr="00C076A0" w:rsidRDefault="004B0AA8" w:rsidP="00A71FF0">
            <w:pPr>
              <w:pStyle w:val="NormalnyWeb"/>
              <w:spacing w:before="0" w:beforeAutospacing="0" w:after="90" w:afterAutospacing="0"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C076A0">
              <w:rPr>
                <w:color w:val="000000"/>
                <w:sz w:val="22"/>
                <w:szCs w:val="22"/>
                <w:lang w:eastAsia="en-US"/>
              </w:rPr>
              <w:t>Zadania wy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konywane na platformie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moodle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C076A0">
              <w:rPr>
                <w:color w:val="000000"/>
                <w:sz w:val="22"/>
                <w:szCs w:val="22"/>
                <w:lang w:eastAsia="en-US"/>
              </w:rPr>
              <w:t xml:space="preserve">jeśli osoba prowadząca przedmiot korzysta z tej możliwości. </w:t>
            </w:r>
          </w:p>
          <w:p w:rsidR="004B0AA8" w:rsidRPr="00C076A0" w:rsidRDefault="004B0AA8" w:rsidP="00A71FF0">
            <w:pPr>
              <w:pStyle w:val="NormalnyWeb"/>
              <w:spacing w:before="0" w:beforeAutospacing="0" w:after="90" w:afterAutospacing="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076A0">
              <w:rPr>
                <w:color w:val="000000"/>
                <w:sz w:val="22"/>
                <w:szCs w:val="22"/>
                <w:lang w:eastAsia="en-US"/>
              </w:rPr>
              <w:lastRenderedPageBreak/>
              <w:t>Zal</w:t>
            </w:r>
            <w:r>
              <w:rPr>
                <w:color w:val="000000"/>
                <w:sz w:val="22"/>
                <w:szCs w:val="22"/>
                <w:lang w:eastAsia="en-US"/>
              </w:rPr>
              <w:t>iczenie prac pisemnych na min. 6</w:t>
            </w:r>
            <w:r w:rsidRPr="00C076A0">
              <w:rPr>
                <w:color w:val="000000"/>
                <w:sz w:val="22"/>
                <w:szCs w:val="22"/>
                <w:lang w:eastAsia="en-US"/>
              </w:rPr>
              <w:t>0 % od przewidzianej w pracy liczby punktów.</w:t>
            </w:r>
          </w:p>
          <w:p w:rsidR="004B0AA8" w:rsidRPr="00C076A0" w:rsidRDefault="004B0AA8" w:rsidP="00A71FF0">
            <w:pPr>
              <w:pStyle w:val="Zawartotabeli"/>
              <w:spacing w:before="57" w:after="57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Dopuszczalna liczba nieobecności: 2. Kolejne 2 – student ma obowiązek zaliczyć materiał na konsultacjach. Powyżej 4 nieobecności na zajęciach skutkuje skreśleniem z listy.</w:t>
            </w:r>
          </w:p>
          <w:p w:rsidR="004B0AA8" w:rsidRPr="00C076A0" w:rsidRDefault="004B0AA8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>Uzyskanie zaliczenia jest warunkiem koniecznym do dopuszczenia do egzaminu.</w:t>
            </w:r>
          </w:p>
          <w:p w:rsidR="004B0AA8" w:rsidRPr="00C076A0" w:rsidRDefault="004B0AA8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 w:rsidRPr="00C076A0">
              <w:rPr>
                <w:sz w:val="22"/>
                <w:szCs w:val="22"/>
                <w:lang w:eastAsia="en-US"/>
              </w:rPr>
              <w:t xml:space="preserve"> Student otrzymuje pozytywną ocenę z egzaminu pisemnego po zdobyciu min. 60% punktów.</w:t>
            </w: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B0AA8" w:rsidRPr="00C076A0" w:rsidTr="00A71FF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spacing w:after="57"/>
              <w:jc w:val="center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B0AA8" w:rsidRPr="00C076A0" w:rsidRDefault="004B0AA8" w:rsidP="00A71FF0">
            <w:pPr>
              <w:suppressLineNumbers/>
              <w:spacing w:before="57" w:after="57"/>
              <w:rPr>
                <w:sz w:val="22"/>
                <w:szCs w:val="22"/>
              </w:rPr>
            </w:pPr>
          </w:p>
          <w:p w:rsidR="004B0AA8" w:rsidRPr="00C076A0" w:rsidRDefault="004B0AA8" w:rsidP="00A71FF0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______________________________________________________________</w:t>
            </w: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Treści merytoryczne (wykaz tematów)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4B0AA8" w:rsidRPr="00C076A0" w:rsidTr="00A71FF0">
        <w:trPr>
          <w:trHeight w:val="1833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Wprowadzenie do składni. Przedmiot badań: wyraz, związek wyrazowy i zdanie.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Definicja związku wyrazowego</w:t>
            </w:r>
            <w:r>
              <w:rPr>
                <w:sz w:val="22"/>
                <w:szCs w:val="22"/>
              </w:rPr>
              <w:t xml:space="preserve">. Rodzaje związków wyrazowych. </w:t>
            </w:r>
            <w:r w:rsidRPr="00C076A0">
              <w:rPr>
                <w:sz w:val="22"/>
                <w:szCs w:val="22"/>
              </w:rPr>
              <w:t xml:space="preserve">Składnia zgody, rządu i przynależności. </w:t>
            </w:r>
          </w:p>
          <w:p w:rsidR="004B0AA8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Definicja zdania pojedynczego. Klasyfikacja ze względu na cel i strukturę wypowiedzi. </w:t>
            </w:r>
          </w:p>
          <w:p w:rsidR="004B0AA8" w:rsidRPr="00C076A0" w:rsidRDefault="004B0AA8" w:rsidP="00A71FF0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C076A0">
              <w:rPr>
                <w:rFonts w:ascii="Times New Roman" w:hAnsi="Times New Roman"/>
              </w:rPr>
              <w:t xml:space="preserve">Struktura zdania pojedynczego (zdania jedno- i dwuczłonowe). </w:t>
            </w:r>
          </w:p>
          <w:p w:rsidR="004B0AA8" w:rsidRDefault="004B0AA8" w:rsidP="00A71FF0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C076A0">
              <w:rPr>
                <w:rFonts w:ascii="Times New Roman" w:hAnsi="Times New Roman"/>
              </w:rPr>
              <w:t>Główne człony zdania pojedynczego. Sposoby wyrażania podmiotu. Typy orzeczenia</w:t>
            </w:r>
            <w:r>
              <w:rPr>
                <w:rFonts w:ascii="Times New Roman" w:hAnsi="Times New Roman"/>
              </w:rPr>
              <w:t>.</w:t>
            </w:r>
          </w:p>
          <w:p w:rsidR="004B0AA8" w:rsidRPr="00C076A0" w:rsidRDefault="004B0AA8" w:rsidP="00A71FF0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C076A0">
              <w:rPr>
                <w:rFonts w:ascii="Times New Roman" w:hAnsi="Times New Roman"/>
              </w:rPr>
              <w:t>Przydawka, dopełnienie, okoliczniki – poboczne człony zdania pojedynczego.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Zdania jednoczłonowe; człony konstruktywne i drugorzędne. </w:t>
            </w:r>
          </w:p>
          <w:p w:rsidR="004B0AA8" w:rsidRPr="00C076A0" w:rsidRDefault="004B0AA8" w:rsidP="00A71FF0">
            <w:pPr>
              <w:pStyle w:val="Akapitzlist"/>
              <w:ind w:left="0"/>
              <w:jc w:val="both"/>
              <w:rPr>
                <w:rFonts w:ascii="Times New Roman" w:hAnsi="Times New Roman"/>
              </w:rPr>
            </w:pPr>
            <w:r w:rsidRPr="00C076A0">
              <w:rPr>
                <w:rFonts w:ascii="Times New Roman" w:hAnsi="Times New Roman"/>
              </w:rPr>
              <w:t xml:space="preserve">Zdania pojedyncze z dodatkowymi członami. Jednorodne (szeregowe) człony zdania i imiesłowowe równoważniki zdań (wyodrębnienia). </w:t>
            </w:r>
          </w:p>
          <w:p w:rsidR="004B0AA8" w:rsidRPr="00C076A0" w:rsidRDefault="004B0AA8" w:rsidP="00A71FF0">
            <w:pPr>
              <w:pStyle w:val="Akapitzlist"/>
              <w:ind w:left="0"/>
              <w:jc w:val="both"/>
              <w:rPr>
                <w:rFonts w:ascii="Times New Roman" w:hAnsi="Times New Roman"/>
              </w:rPr>
            </w:pPr>
            <w:r w:rsidRPr="00C076A0">
              <w:rPr>
                <w:rFonts w:ascii="Times New Roman" w:hAnsi="Times New Roman"/>
              </w:rPr>
              <w:t>Elementy poza strukturą zdania pojedynczego: wyrazy wtrącone, konstrukcje wtrącone (wypowiedzenia nawiasowe), zwroty (apostrofy).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Zdania złożone, ich klasyfikacja.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Zdanie współrzędnie złożone; struktura i współzależności semantyczne.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Zdanie podrzędnie złożone, struktura  i przyjęta  klasyfik</w:t>
            </w:r>
            <w:r>
              <w:rPr>
                <w:sz w:val="22"/>
                <w:szCs w:val="22"/>
              </w:rPr>
              <w:t xml:space="preserve">acja.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Typy </w:t>
            </w:r>
            <w:r w:rsidRPr="00C076A0">
              <w:rPr>
                <w:sz w:val="22"/>
                <w:szCs w:val="22"/>
              </w:rPr>
              <w:t xml:space="preserve">zdań pobocznych.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 xml:space="preserve">Zdania złożone bezspójnikowe. </w:t>
            </w:r>
          </w:p>
          <w:p w:rsidR="004B0AA8" w:rsidRPr="00C076A0" w:rsidRDefault="004B0AA8" w:rsidP="00A71FF0">
            <w:pPr>
              <w:tabs>
                <w:tab w:val="left" w:pos="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C076A0">
              <w:rPr>
                <w:sz w:val="22"/>
                <w:szCs w:val="22"/>
              </w:rPr>
              <w:t>Budowa składniowa wypowiedzi wielozdaniowych. Analiza konstrukcji wielokrotnie złożonych.</w:t>
            </w:r>
          </w:p>
        </w:tc>
      </w:tr>
    </w:tbl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lastRenderedPageBreak/>
        <w:t>Wykaz literatury podstawowej</w:t>
      </w:r>
    </w:p>
    <w:tbl>
      <w:tblPr>
        <w:tblpPr w:leftFromText="141" w:rightFromText="141" w:vertAnchor="text" w:horzAnchor="margin" w:tblpY="377"/>
        <w:tblW w:w="928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B0AA8" w:rsidRPr="00C076A0" w:rsidTr="00A71FF0">
        <w:trPr>
          <w:trHeight w:val="1953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B0AA8" w:rsidRPr="00C076A0" w:rsidRDefault="004B0AA8" w:rsidP="00A71FF0">
            <w:pPr>
              <w:spacing w:before="240"/>
              <w:jc w:val="both"/>
              <w:rPr>
                <w:sz w:val="22"/>
                <w:szCs w:val="22"/>
              </w:rPr>
            </w:pPr>
            <w:proofErr w:type="spellStart"/>
            <w:r w:rsidRPr="00C076A0">
              <w:rPr>
                <w:sz w:val="22"/>
                <w:szCs w:val="22"/>
              </w:rPr>
              <w:t>Lachur</w:t>
            </w:r>
            <w:proofErr w:type="spellEnd"/>
            <w:r w:rsidRPr="00C076A0">
              <w:rPr>
                <w:sz w:val="22"/>
                <w:szCs w:val="22"/>
              </w:rPr>
              <w:t xml:space="preserve"> Cz., </w:t>
            </w:r>
            <w:r w:rsidRPr="00C076A0">
              <w:rPr>
                <w:i/>
                <w:iCs/>
                <w:sz w:val="22"/>
                <w:szCs w:val="22"/>
              </w:rPr>
              <w:t>Współczesny język rosyjski. System gramatyczny (z ćwiczeniami)</w:t>
            </w:r>
            <w:r w:rsidRPr="00C076A0">
              <w:rPr>
                <w:iCs/>
                <w:sz w:val="22"/>
                <w:szCs w:val="22"/>
              </w:rPr>
              <w:t>,</w:t>
            </w:r>
            <w:r w:rsidRPr="00C076A0">
              <w:rPr>
                <w:sz w:val="22"/>
                <w:szCs w:val="22"/>
              </w:rPr>
              <w:t xml:space="preserve"> Opole 2002</w:t>
            </w:r>
            <w:r>
              <w:rPr>
                <w:sz w:val="22"/>
                <w:szCs w:val="22"/>
              </w:rPr>
              <w:t>.</w:t>
            </w:r>
          </w:p>
          <w:p w:rsidR="004B0AA8" w:rsidRPr="004B0AA8" w:rsidRDefault="004B0AA8" w:rsidP="00A71FF0">
            <w:pPr>
              <w:spacing w:before="240"/>
              <w:jc w:val="both"/>
              <w:rPr>
                <w:sz w:val="22"/>
                <w:szCs w:val="22"/>
                <w:lang w:val="ru-RU"/>
              </w:rPr>
            </w:pPr>
            <w:r w:rsidRPr="00C076A0">
              <w:rPr>
                <w:sz w:val="22"/>
                <w:szCs w:val="22"/>
                <w:lang w:val="ru-RU"/>
              </w:rPr>
              <w:t xml:space="preserve">Беляев Ю. И., </w:t>
            </w:r>
            <w:r w:rsidRPr="00C076A0">
              <w:rPr>
                <w:i/>
                <w:sz w:val="22"/>
                <w:szCs w:val="22"/>
                <w:lang w:val="ru-RU"/>
              </w:rPr>
              <w:t>Синтаксис современного русского языка. Учебное пособие</w:t>
            </w:r>
            <w:r w:rsidRPr="00C076A0">
              <w:rPr>
                <w:sz w:val="22"/>
                <w:szCs w:val="22"/>
                <w:lang w:val="ru-RU"/>
              </w:rPr>
              <w:t>, Херсон 2003</w:t>
            </w:r>
            <w:r w:rsidRPr="004B0AA8">
              <w:rPr>
                <w:sz w:val="22"/>
                <w:szCs w:val="22"/>
                <w:lang w:val="ru-RU"/>
              </w:rPr>
              <w:t>.</w:t>
            </w:r>
          </w:p>
          <w:p w:rsidR="004B0AA8" w:rsidRPr="00C07860" w:rsidRDefault="004B0AA8" w:rsidP="00A71FF0">
            <w:pPr>
              <w:spacing w:before="240"/>
              <w:jc w:val="both"/>
              <w:rPr>
                <w:sz w:val="22"/>
                <w:szCs w:val="22"/>
              </w:rPr>
            </w:pPr>
            <w:proofErr w:type="spellStart"/>
            <w:r w:rsidRPr="00C076A0">
              <w:rPr>
                <w:sz w:val="22"/>
                <w:szCs w:val="22"/>
              </w:rPr>
              <w:t>BielaninA</w:t>
            </w:r>
            <w:proofErr w:type="spellEnd"/>
            <w:r w:rsidRPr="00C076A0">
              <w:rPr>
                <w:sz w:val="22"/>
                <w:szCs w:val="22"/>
                <w:lang w:val="ru-RU"/>
              </w:rPr>
              <w:t xml:space="preserve">., </w:t>
            </w:r>
            <w:proofErr w:type="spellStart"/>
            <w:r w:rsidRPr="00C076A0">
              <w:rPr>
                <w:sz w:val="22"/>
                <w:szCs w:val="22"/>
              </w:rPr>
              <w:t>Czapiga</w:t>
            </w:r>
            <w:proofErr w:type="spellEnd"/>
            <w:r w:rsidRPr="00C076A0">
              <w:rPr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sz w:val="22"/>
                <w:szCs w:val="22"/>
              </w:rPr>
              <w:t>Z</w:t>
            </w:r>
            <w:r w:rsidRPr="00C076A0">
              <w:rPr>
                <w:sz w:val="22"/>
                <w:szCs w:val="22"/>
                <w:lang w:val="ru-RU"/>
              </w:rPr>
              <w:t xml:space="preserve">., </w:t>
            </w:r>
            <w:r w:rsidRPr="00C076A0">
              <w:rPr>
                <w:i/>
                <w:sz w:val="22"/>
                <w:szCs w:val="22"/>
                <w:lang w:val="ru-RU"/>
              </w:rPr>
              <w:t>Современный русский язык. Синтаксис</w:t>
            </w:r>
            <w:r w:rsidRPr="00C076A0">
              <w:rPr>
                <w:i/>
                <w:sz w:val="22"/>
                <w:szCs w:val="22"/>
              </w:rPr>
              <w:t xml:space="preserve">. </w:t>
            </w:r>
            <w:r w:rsidRPr="00C076A0">
              <w:rPr>
                <w:i/>
                <w:iCs/>
                <w:sz w:val="22"/>
                <w:szCs w:val="22"/>
              </w:rPr>
              <w:t>Ćwiczenia z komentarzem</w:t>
            </w:r>
            <w:r w:rsidRPr="00C076A0">
              <w:rPr>
                <w:iCs/>
                <w:sz w:val="22"/>
                <w:szCs w:val="22"/>
              </w:rPr>
              <w:t>, cz. III</w:t>
            </w:r>
            <w:r w:rsidRPr="00C076A0">
              <w:rPr>
                <w:sz w:val="22"/>
                <w:szCs w:val="22"/>
              </w:rPr>
              <w:t>, Rzeszów 2003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4B0AA8" w:rsidRPr="00C076A0" w:rsidRDefault="004B0AA8" w:rsidP="004B0AA8">
      <w:pPr>
        <w:rPr>
          <w:b/>
          <w:sz w:val="22"/>
          <w:szCs w:val="22"/>
        </w:rPr>
      </w:pPr>
    </w:p>
    <w:p w:rsidR="004B0AA8" w:rsidRPr="00C076A0" w:rsidRDefault="004B0AA8" w:rsidP="004B0AA8">
      <w:pPr>
        <w:rPr>
          <w:sz w:val="22"/>
          <w:szCs w:val="22"/>
          <w:lang w:val="ru-RU"/>
        </w:rPr>
      </w:pPr>
    </w:p>
    <w:p w:rsidR="004B0AA8" w:rsidRPr="00C076A0" w:rsidRDefault="004B0AA8" w:rsidP="004B0AA8">
      <w:pPr>
        <w:rPr>
          <w:sz w:val="22"/>
          <w:szCs w:val="22"/>
          <w:lang w:val="ru-RU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Wykaz literatury uzupełniającej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B0AA8" w:rsidRPr="00440195" w:rsidTr="00A71FF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B0AA8" w:rsidRPr="00440195" w:rsidRDefault="004B0AA8" w:rsidP="00A71FF0">
            <w:pPr>
              <w:spacing w:before="240"/>
              <w:jc w:val="both"/>
              <w:rPr>
                <w:sz w:val="22"/>
                <w:szCs w:val="22"/>
                <w:lang w:val="ru-RU"/>
              </w:rPr>
            </w:pPr>
          </w:p>
          <w:p w:rsidR="004B0AA8" w:rsidRPr="004B0AA8" w:rsidRDefault="004B0AA8" w:rsidP="00A71FF0">
            <w:pPr>
              <w:spacing w:after="120" w:line="360" w:lineRule="auto"/>
              <w:ind w:left="284"/>
              <w:rPr>
                <w:sz w:val="22"/>
                <w:szCs w:val="22"/>
                <w:lang w:val="ru-RU"/>
              </w:rPr>
            </w:pPr>
            <w:proofErr w:type="spellStart"/>
            <w:r w:rsidRPr="00C076A0">
              <w:rPr>
                <w:sz w:val="22"/>
                <w:szCs w:val="22"/>
                <w:lang w:val="ru-RU"/>
              </w:rPr>
              <w:t>Валгина</w:t>
            </w:r>
            <w:proofErr w:type="spellEnd"/>
            <w:r w:rsidRPr="0060244C">
              <w:rPr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sz w:val="22"/>
                <w:szCs w:val="22"/>
                <w:lang w:val="ru-RU"/>
              </w:rPr>
              <w:t>Н</w:t>
            </w:r>
            <w:r w:rsidRPr="0060244C">
              <w:rPr>
                <w:sz w:val="22"/>
                <w:szCs w:val="22"/>
                <w:lang w:val="ru-RU"/>
              </w:rPr>
              <w:t xml:space="preserve">. </w:t>
            </w:r>
            <w:r w:rsidRPr="00C076A0">
              <w:rPr>
                <w:sz w:val="22"/>
                <w:szCs w:val="22"/>
                <w:lang w:val="ru-RU"/>
              </w:rPr>
              <w:t>С</w:t>
            </w:r>
            <w:r w:rsidRPr="0060244C">
              <w:rPr>
                <w:sz w:val="22"/>
                <w:szCs w:val="22"/>
                <w:lang w:val="ru-RU"/>
              </w:rPr>
              <w:t xml:space="preserve">., </w:t>
            </w:r>
            <w:r w:rsidRPr="00C076A0">
              <w:rPr>
                <w:sz w:val="22"/>
                <w:szCs w:val="22"/>
                <w:lang w:val="ru-RU"/>
              </w:rPr>
              <w:t>Розенталь</w:t>
            </w:r>
            <w:r w:rsidRPr="0060244C">
              <w:rPr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sz w:val="22"/>
                <w:szCs w:val="22"/>
                <w:lang w:val="ru-RU"/>
              </w:rPr>
              <w:t>Д</w:t>
            </w:r>
            <w:r w:rsidRPr="0060244C">
              <w:rPr>
                <w:sz w:val="22"/>
                <w:szCs w:val="22"/>
                <w:lang w:val="ru-RU"/>
              </w:rPr>
              <w:t xml:space="preserve">. </w:t>
            </w:r>
            <w:r w:rsidRPr="00C076A0">
              <w:rPr>
                <w:sz w:val="22"/>
                <w:szCs w:val="22"/>
                <w:lang w:val="ru-RU"/>
              </w:rPr>
              <w:t>Е</w:t>
            </w:r>
            <w:r w:rsidRPr="0060244C">
              <w:rPr>
                <w:sz w:val="22"/>
                <w:szCs w:val="22"/>
                <w:lang w:val="ru-RU"/>
              </w:rPr>
              <w:t xml:space="preserve">., </w:t>
            </w:r>
            <w:r w:rsidRPr="00C076A0">
              <w:rPr>
                <w:sz w:val="22"/>
                <w:szCs w:val="22"/>
                <w:lang w:val="ru-RU"/>
              </w:rPr>
              <w:t>Фомина</w:t>
            </w:r>
            <w:r w:rsidRPr="0060244C">
              <w:rPr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sz w:val="22"/>
                <w:szCs w:val="22"/>
                <w:lang w:val="ru-RU"/>
              </w:rPr>
              <w:t>М</w:t>
            </w:r>
            <w:r w:rsidRPr="0060244C">
              <w:rPr>
                <w:sz w:val="22"/>
                <w:szCs w:val="22"/>
                <w:lang w:val="ru-RU"/>
              </w:rPr>
              <w:t xml:space="preserve">. </w:t>
            </w:r>
            <w:r w:rsidRPr="00C076A0">
              <w:rPr>
                <w:sz w:val="22"/>
                <w:szCs w:val="22"/>
                <w:lang w:val="ru-RU"/>
              </w:rPr>
              <w:t>И</w:t>
            </w:r>
            <w:r w:rsidRPr="0060244C">
              <w:rPr>
                <w:sz w:val="22"/>
                <w:szCs w:val="22"/>
                <w:lang w:val="ru-RU"/>
              </w:rPr>
              <w:t xml:space="preserve">., </w:t>
            </w:r>
            <w:r w:rsidRPr="00C076A0">
              <w:rPr>
                <w:i/>
                <w:sz w:val="22"/>
                <w:szCs w:val="22"/>
                <w:lang w:val="ru-RU"/>
              </w:rPr>
              <w:t>Современный</w:t>
            </w:r>
            <w:r w:rsidRPr="0060244C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sz w:val="22"/>
                <w:szCs w:val="22"/>
                <w:lang w:val="ru-RU"/>
              </w:rPr>
              <w:t>русский</w:t>
            </w:r>
            <w:r w:rsidRPr="0060244C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sz w:val="22"/>
                <w:szCs w:val="22"/>
                <w:lang w:val="ru-RU"/>
              </w:rPr>
              <w:t>язык</w:t>
            </w:r>
            <w:r w:rsidRPr="0060244C">
              <w:rPr>
                <w:sz w:val="22"/>
                <w:szCs w:val="22"/>
                <w:lang w:val="ru-RU"/>
              </w:rPr>
              <w:t xml:space="preserve">, </w:t>
            </w:r>
            <w:r w:rsidRPr="00C076A0">
              <w:rPr>
                <w:sz w:val="22"/>
                <w:szCs w:val="22"/>
                <w:lang w:val="ru-RU"/>
              </w:rPr>
              <w:t>Москва</w:t>
            </w:r>
            <w:r w:rsidRPr="0060244C">
              <w:rPr>
                <w:sz w:val="22"/>
                <w:szCs w:val="22"/>
                <w:lang w:val="ru-RU"/>
              </w:rPr>
              <w:t xml:space="preserve"> 2001. </w:t>
            </w:r>
            <w:proofErr w:type="spellStart"/>
            <w:r w:rsidRPr="00C076A0">
              <w:rPr>
                <w:sz w:val="22"/>
                <w:szCs w:val="22"/>
              </w:rPr>
              <w:t>Bobran</w:t>
            </w:r>
            <w:proofErr w:type="spellEnd"/>
            <w:r w:rsidRPr="004B0AA8">
              <w:rPr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sz w:val="22"/>
                <w:szCs w:val="22"/>
              </w:rPr>
              <w:t>M</w:t>
            </w:r>
            <w:r w:rsidRPr="004B0AA8">
              <w:rPr>
                <w:sz w:val="22"/>
                <w:szCs w:val="22"/>
                <w:lang w:val="ru-RU"/>
              </w:rPr>
              <w:t xml:space="preserve">., </w:t>
            </w:r>
            <w:proofErr w:type="spellStart"/>
            <w:r w:rsidRPr="00C076A0">
              <w:rPr>
                <w:i/>
                <w:iCs/>
                <w:sz w:val="22"/>
                <w:szCs w:val="22"/>
              </w:rPr>
              <w:t>Sk</w:t>
            </w:r>
            <w:proofErr w:type="spellEnd"/>
            <w:r w:rsidRPr="004B0AA8">
              <w:rPr>
                <w:i/>
                <w:iCs/>
                <w:sz w:val="22"/>
                <w:szCs w:val="22"/>
                <w:lang w:val="ru-RU"/>
              </w:rPr>
              <w:t>ł</w:t>
            </w:r>
            <w:proofErr w:type="spellStart"/>
            <w:r w:rsidRPr="00C076A0">
              <w:rPr>
                <w:i/>
                <w:iCs/>
                <w:sz w:val="22"/>
                <w:szCs w:val="22"/>
              </w:rPr>
              <w:t>adnia</w:t>
            </w:r>
            <w:proofErr w:type="spellEnd"/>
            <w:r w:rsidRPr="004B0AA8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iCs/>
                <w:sz w:val="22"/>
                <w:szCs w:val="22"/>
              </w:rPr>
              <w:t>polsko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>-</w:t>
            </w:r>
            <w:r w:rsidRPr="00C076A0">
              <w:rPr>
                <w:i/>
                <w:iCs/>
                <w:sz w:val="22"/>
                <w:szCs w:val="22"/>
              </w:rPr>
              <w:t>rosyjska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iCs/>
                <w:sz w:val="22"/>
                <w:szCs w:val="22"/>
              </w:rPr>
              <w:t>zdania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iCs/>
                <w:sz w:val="22"/>
                <w:szCs w:val="22"/>
              </w:rPr>
              <w:t>z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>ł</w:t>
            </w:r>
            <w:r w:rsidRPr="00C076A0">
              <w:rPr>
                <w:i/>
                <w:iCs/>
                <w:sz w:val="22"/>
                <w:szCs w:val="22"/>
              </w:rPr>
              <w:t>o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>ż</w:t>
            </w:r>
            <w:r w:rsidRPr="00C076A0">
              <w:rPr>
                <w:i/>
                <w:iCs/>
                <w:sz w:val="22"/>
                <w:szCs w:val="22"/>
              </w:rPr>
              <w:t>onego</w:t>
            </w:r>
            <w:r w:rsidRPr="004B0AA8">
              <w:rPr>
                <w:sz w:val="22"/>
                <w:szCs w:val="22"/>
                <w:lang w:val="ru-RU"/>
              </w:rPr>
              <w:t xml:space="preserve">, </w:t>
            </w:r>
            <w:r w:rsidRPr="00C076A0">
              <w:rPr>
                <w:sz w:val="22"/>
                <w:szCs w:val="22"/>
              </w:rPr>
              <w:t>Rzesz</w:t>
            </w:r>
            <w:r w:rsidRPr="004B0AA8">
              <w:rPr>
                <w:sz w:val="22"/>
                <w:szCs w:val="22"/>
                <w:lang w:val="ru-RU"/>
              </w:rPr>
              <w:t>ó</w:t>
            </w:r>
            <w:r w:rsidRPr="00C076A0">
              <w:rPr>
                <w:sz w:val="22"/>
                <w:szCs w:val="22"/>
              </w:rPr>
              <w:t>w</w:t>
            </w:r>
            <w:r w:rsidRPr="004B0AA8">
              <w:rPr>
                <w:sz w:val="22"/>
                <w:szCs w:val="22"/>
                <w:lang w:val="ru-RU"/>
              </w:rPr>
              <w:t xml:space="preserve"> 2000.</w:t>
            </w:r>
          </w:p>
          <w:p w:rsidR="004B0AA8" w:rsidRPr="00C076A0" w:rsidRDefault="004B0AA8" w:rsidP="00A71FF0">
            <w:pPr>
              <w:spacing w:after="120" w:line="360" w:lineRule="auto"/>
              <w:ind w:left="284"/>
              <w:rPr>
                <w:sz w:val="22"/>
                <w:szCs w:val="22"/>
                <w:lang w:val="ru-RU"/>
              </w:rPr>
            </w:pPr>
            <w:r w:rsidRPr="00C076A0">
              <w:rPr>
                <w:sz w:val="22"/>
                <w:szCs w:val="22"/>
                <w:lang w:val="ru-RU"/>
              </w:rPr>
              <w:t xml:space="preserve">Розенталь Д. Е., Голуб И. В., Теленкова М. А., </w:t>
            </w:r>
            <w:r w:rsidRPr="00C076A0">
              <w:rPr>
                <w:i/>
                <w:sz w:val="22"/>
                <w:szCs w:val="22"/>
                <w:lang w:val="ru-RU"/>
              </w:rPr>
              <w:t>Современный русский язык</w:t>
            </w:r>
            <w:r w:rsidRPr="00C076A0">
              <w:rPr>
                <w:sz w:val="22"/>
                <w:szCs w:val="22"/>
                <w:lang w:val="ru-RU"/>
              </w:rPr>
              <w:t>, 1994</w:t>
            </w:r>
            <w:r w:rsidRPr="0060244C">
              <w:rPr>
                <w:sz w:val="22"/>
                <w:szCs w:val="22"/>
                <w:lang w:val="ru-RU"/>
              </w:rPr>
              <w:t>.</w:t>
            </w:r>
            <w:r w:rsidRPr="00C076A0">
              <w:rPr>
                <w:sz w:val="22"/>
                <w:szCs w:val="22"/>
                <w:lang w:val="ru-RU"/>
              </w:rPr>
              <w:t xml:space="preserve"> </w:t>
            </w:r>
          </w:p>
          <w:p w:rsidR="004B0AA8" w:rsidRPr="0060244C" w:rsidRDefault="004B0AA8" w:rsidP="00A71FF0">
            <w:pPr>
              <w:spacing w:before="240" w:line="360" w:lineRule="auto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     </w:t>
            </w:r>
            <w:proofErr w:type="spellStart"/>
            <w:r w:rsidRPr="00C076A0">
              <w:rPr>
                <w:sz w:val="22"/>
                <w:szCs w:val="22"/>
                <w:lang w:val="ru-RU"/>
              </w:rPr>
              <w:t>Формановская</w:t>
            </w:r>
            <w:proofErr w:type="spellEnd"/>
            <w:r w:rsidRPr="00C076A0">
              <w:rPr>
                <w:sz w:val="22"/>
                <w:szCs w:val="22"/>
                <w:lang w:val="ru-RU"/>
              </w:rPr>
              <w:t xml:space="preserve"> Н. И., </w:t>
            </w:r>
            <w:r w:rsidRPr="00C076A0">
              <w:rPr>
                <w:i/>
                <w:sz w:val="22"/>
                <w:szCs w:val="22"/>
                <w:lang w:val="ru-RU"/>
              </w:rPr>
              <w:t xml:space="preserve">Сложное </w:t>
            </w:r>
            <w:r>
              <w:rPr>
                <w:i/>
                <w:sz w:val="22"/>
                <w:szCs w:val="22"/>
                <w:lang w:val="ru-RU"/>
              </w:rPr>
              <w:t>предложение в современном русско</w:t>
            </w:r>
            <w:r w:rsidRPr="00C076A0">
              <w:rPr>
                <w:i/>
                <w:sz w:val="22"/>
                <w:szCs w:val="22"/>
                <w:lang w:val="ru-RU"/>
              </w:rPr>
              <w:t>м языке. Теория</w:t>
            </w:r>
            <w:r>
              <w:rPr>
                <w:i/>
                <w:sz w:val="22"/>
                <w:szCs w:val="22"/>
              </w:rPr>
              <w:t xml:space="preserve">                                 </w:t>
            </w:r>
            <w:r w:rsidRPr="0060244C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                                                      </w:t>
            </w:r>
            <w:r w:rsidRPr="00440195">
              <w:rPr>
                <w:i/>
                <w:sz w:val="22"/>
                <w:szCs w:val="22"/>
              </w:rPr>
              <w:t xml:space="preserve">  </w:t>
            </w:r>
            <w:r w:rsidRPr="00C076A0">
              <w:rPr>
                <w:i/>
                <w:sz w:val="22"/>
                <w:szCs w:val="22"/>
                <w:lang w:val="ru-RU"/>
              </w:rPr>
              <w:t>и</w:t>
            </w:r>
            <w:r w:rsidRPr="0060244C">
              <w:rPr>
                <w:i/>
                <w:sz w:val="22"/>
                <w:szCs w:val="22"/>
              </w:rPr>
              <w:t xml:space="preserve">  </w:t>
            </w:r>
            <w:r w:rsidRPr="00C076A0">
              <w:rPr>
                <w:i/>
                <w:sz w:val="22"/>
                <w:szCs w:val="22"/>
                <w:lang w:val="ru-RU"/>
              </w:rPr>
              <w:t>упражнения</w:t>
            </w:r>
            <w:r w:rsidRPr="0060244C">
              <w:rPr>
                <w:sz w:val="22"/>
                <w:szCs w:val="22"/>
              </w:rPr>
              <w:t xml:space="preserve">, </w:t>
            </w:r>
            <w:r w:rsidRPr="00C076A0">
              <w:rPr>
                <w:sz w:val="22"/>
                <w:szCs w:val="22"/>
                <w:lang w:val="ru-RU"/>
              </w:rPr>
              <w:t>Москва</w:t>
            </w:r>
            <w:r>
              <w:rPr>
                <w:sz w:val="22"/>
                <w:szCs w:val="22"/>
              </w:rPr>
              <w:t xml:space="preserve"> 1989.</w:t>
            </w:r>
          </w:p>
          <w:p w:rsidR="004B0AA8" w:rsidRPr="00C076A0" w:rsidRDefault="004B0AA8" w:rsidP="00A71FF0">
            <w:pPr>
              <w:spacing w:before="240" w:line="360" w:lineRule="auto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</w:t>
            </w:r>
            <w:r w:rsidRPr="00C076A0">
              <w:rPr>
                <w:i/>
                <w:iCs/>
                <w:sz w:val="22"/>
                <w:szCs w:val="22"/>
              </w:rPr>
              <w:t>Gramatyka opisowa współczesnego języka rosyjskiego</w:t>
            </w:r>
            <w:r w:rsidRPr="00C076A0">
              <w:rPr>
                <w:sz w:val="22"/>
                <w:szCs w:val="22"/>
              </w:rPr>
              <w:t xml:space="preserve"> pod red. A. Bartoszewicza </w:t>
            </w:r>
            <w:r>
              <w:rPr>
                <w:sz w:val="22"/>
                <w:szCs w:val="22"/>
              </w:rPr>
              <w:t xml:space="preserve">                                         </w:t>
            </w:r>
            <w:r w:rsidRPr="00C076A0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 </w:t>
            </w:r>
            <w:r w:rsidRPr="00C076A0">
              <w:rPr>
                <w:sz w:val="22"/>
                <w:szCs w:val="22"/>
              </w:rPr>
              <w:t>J. Waw</w:t>
            </w:r>
            <w:r>
              <w:rPr>
                <w:sz w:val="22"/>
                <w:szCs w:val="22"/>
              </w:rPr>
              <w:t>rzyńczyka, cz. 4, Warszawa 1987.</w:t>
            </w:r>
          </w:p>
          <w:p w:rsidR="004B0AA8" w:rsidRPr="00C076A0" w:rsidRDefault="004B0AA8" w:rsidP="00A71FF0">
            <w:pPr>
              <w:spacing w:after="120" w:line="360" w:lineRule="auto"/>
              <w:ind w:left="284"/>
              <w:rPr>
                <w:sz w:val="22"/>
                <w:szCs w:val="22"/>
                <w:lang w:val="ru-RU"/>
              </w:rPr>
            </w:pPr>
            <w:r w:rsidRPr="00C076A0">
              <w:rPr>
                <w:i/>
                <w:iCs/>
                <w:sz w:val="22"/>
                <w:szCs w:val="22"/>
                <w:lang w:val="ru-RU"/>
              </w:rPr>
              <w:t>Русская</w:t>
            </w:r>
            <w:r w:rsidRPr="004B0AA8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/>
                <w:iCs/>
                <w:sz w:val="22"/>
                <w:szCs w:val="22"/>
                <w:lang w:val="ru-RU"/>
              </w:rPr>
              <w:t>грамматика</w:t>
            </w:r>
            <w:r w:rsidRPr="004B0AA8">
              <w:rPr>
                <w:iCs/>
                <w:sz w:val="22"/>
                <w:szCs w:val="22"/>
                <w:lang w:val="ru-RU"/>
              </w:rPr>
              <w:t xml:space="preserve">, </w:t>
            </w:r>
            <w:r w:rsidRPr="00C076A0">
              <w:rPr>
                <w:iCs/>
                <w:sz w:val="22"/>
                <w:szCs w:val="22"/>
                <w:lang w:val="ru-RU"/>
              </w:rPr>
              <w:t>под</w:t>
            </w:r>
            <w:r w:rsidRPr="004B0AA8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C076A0">
              <w:rPr>
                <w:iCs/>
                <w:sz w:val="22"/>
                <w:szCs w:val="22"/>
                <w:lang w:val="ru-RU"/>
              </w:rPr>
              <w:t>ред</w:t>
            </w:r>
            <w:r w:rsidRPr="004B0AA8">
              <w:rPr>
                <w:iCs/>
                <w:sz w:val="22"/>
                <w:szCs w:val="22"/>
                <w:lang w:val="ru-RU"/>
              </w:rPr>
              <w:t xml:space="preserve">. </w:t>
            </w:r>
            <w:r w:rsidRPr="00C076A0">
              <w:rPr>
                <w:iCs/>
                <w:sz w:val="22"/>
                <w:szCs w:val="22"/>
                <w:lang w:val="ru-RU"/>
              </w:rPr>
              <w:t xml:space="preserve">Н. Ю. Шведовой, т. </w:t>
            </w:r>
            <w:r w:rsidRPr="00C076A0">
              <w:rPr>
                <w:iCs/>
                <w:sz w:val="22"/>
                <w:szCs w:val="22"/>
              </w:rPr>
              <w:t>II</w:t>
            </w:r>
            <w:r w:rsidRPr="00C076A0">
              <w:rPr>
                <w:iCs/>
                <w:sz w:val="22"/>
                <w:szCs w:val="22"/>
                <w:lang w:val="ru-RU"/>
              </w:rPr>
              <w:t xml:space="preserve">, Москва </w:t>
            </w:r>
            <w:r>
              <w:rPr>
                <w:sz w:val="22"/>
                <w:szCs w:val="22"/>
                <w:lang w:val="ru-RU"/>
              </w:rPr>
              <w:t>1982</w:t>
            </w:r>
            <w:r w:rsidRPr="0060244C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4B0AA8" w:rsidRPr="00C076A0" w:rsidRDefault="004B0AA8" w:rsidP="004B0AA8">
      <w:pPr>
        <w:rPr>
          <w:sz w:val="22"/>
          <w:szCs w:val="22"/>
          <w:lang w:val="ru-RU"/>
        </w:rPr>
      </w:pPr>
    </w:p>
    <w:p w:rsidR="004B0AA8" w:rsidRPr="00C076A0" w:rsidRDefault="004B0AA8" w:rsidP="004B0AA8">
      <w:pPr>
        <w:rPr>
          <w:b/>
          <w:sz w:val="22"/>
          <w:szCs w:val="22"/>
          <w:lang w:val="ru-RU"/>
        </w:rPr>
      </w:pPr>
    </w:p>
    <w:p w:rsidR="004B0AA8" w:rsidRPr="00C076A0" w:rsidRDefault="004B0AA8" w:rsidP="004B0AA8">
      <w:pPr>
        <w:rPr>
          <w:b/>
          <w:sz w:val="22"/>
          <w:szCs w:val="22"/>
        </w:rPr>
      </w:pPr>
      <w:r w:rsidRPr="00C076A0">
        <w:rPr>
          <w:b/>
          <w:sz w:val="22"/>
          <w:szCs w:val="22"/>
        </w:rPr>
        <w:t>Bilans godzinowy zgodny z CNPS (Całkowity Nakład Pracy Studenta)</w:t>
      </w:r>
    </w:p>
    <w:p w:rsidR="004B0AA8" w:rsidRPr="00C076A0" w:rsidRDefault="004B0AA8" w:rsidP="004B0AA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82"/>
        <w:gridCol w:w="1039"/>
      </w:tblGrid>
      <w:tr w:rsidR="004B0AA8" w:rsidRPr="00C076A0" w:rsidTr="00A71FF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76A0">
              <w:rPr>
                <w:rFonts w:eastAsia="Calibri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     </w:t>
            </w:r>
            <w:r w:rsidRPr="00C076A0">
              <w:rPr>
                <w:rFonts w:eastAsia="Calibri"/>
                <w:color w:val="000000"/>
                <w:sz w:val="22"/>
                <w:szCs w:val="22"/>
              </w:rPr>
              <w:t>30</w:t>
            </w:r>
          </w:p>
        </w:tc>
      </w:tr>
      <w:tr w:rsidR="004B0AA8" w:rsidRPr="00C076A0" w:rsidTr="00A71FF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C076A0"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</w:tr>
      <w:tr w:rsidR="004B0AA8" w:rsidRPr="00C076A0" w:rsidTr="00A71FF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</w:tr>
      <w:tr w:rsidR="004B0AA8" w:rsidRPr="00C076A0" w:rsidTr="00A71FF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4B0AA8" w:rsidRPr="00C076A0" w:rsidTr="00A71FF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20</w:t>
            </w:r>
          </w:p>
        </w:tc>
      </w:tr>
      <w:tr w:rsidR="004B0AA8" w:rsidRPr="00C076A0" w:rsidTr="00A71FF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C076A0">
              <w:rPr>
                <w:rFonts w:eastAsia="Calibri"/>
                <w:color w:val="000000"/>
                <w:sz w:val="22"/>
                <w:szCs w:val="22"/>
              </w:rPr>
              <w:t>60</w:t>
            </w:r>
          </w:p>
        </w:tc>
      </w:tr>
      <w:tr w:rsidR="004B0AA8" w:rsidRPr="00C076A0" w:rsidTr="00A71FF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B0AA8" w:rsidRPr="00C076A0" w:rsidRDefault="004B0AA8" w:rsidP="00A71FF0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C076A0">
              <w:rPr>
                <w:rFonts w:eastAsia="Calibri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B0AA8" w:rsidRPr="00C076A0" w:rsidRDefault="004B0AA8" w:rsidP="00A71FF0">
            <w:pPr>
              <w:ind w:left="36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C076A0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</w:tr>
    </w:tbl>
    <w:p w:rsidR="004B0AA8" w:rsidRPr="00C076A0" w:rsidRDefault="004B0AA8" w:rsidP="004B0AA8">
      <w:pPr>
        <w:rPr>
          <w:sz w:val="22"/>
          <w:szCs w:val="22"/>
        </w:rPr>
      </w:pPr>
    </w:p>
    <w:p w:rsidR="009E6988" w:rsidRDefault="009E6988"/>
    <w:sectPr w:rsidR="009E6988" w:rsidSect="001D2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C5"/>
    <w:rsid w:val="00440195"/>
    <w:rsid w:val="004B0AA8"/>
    <w:rsid w:val="008532C5"/>
    <w:rsid w:val="009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BE959-0F87-4EF5-B9EF-7B0B1040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AA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0AA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B0AA8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B0AA8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4B0AA8"/>
    <w:pPr>
      <w:suppressLineNumbers/>
    </w:pPr>
  </w:style>
  <w:style w:type="character" w:customStyle="1" w:styleId="apple-converted-space">
    <w:name w:val="apple-converted-space"/>
    <w:rsid w:val="004B0AA8"/>
  </w:style>
  <w:style w:type="paragraph" w:styleId="Akapitzlist">
    <w:name w:val="List Paragraph"/>
    <w:basedOn w:val="Normalny"/>
    <w:uiPriority w:val="34"/>
    <w:qFormat/>
    <w:rsid w:val="004B0AA8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1062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4</cp:revision>
  <dcterms:created xsi:type="dcterms:W3CDTF">2024-09-30T22:52:00Z</dcterms:created>
  <dcterms:modified xsi:type="dcterms:W3CDTF">2024-10-28T10:53:00Z</dcterms:modified>
</cp:coreProperties>
</file>